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4F066" w14:textId="274B8DD4" w:rsidR="00874286" w:rsidRPr="007207B2" w:rsidRDefault="007207B2" w:rsidP="007207B2">
      <w:pPr>
        <w:pStyle w:val="NoSpacing"/>
        <w:jc w:val="center"/>
        <w:rPr>
          <w:b/>
          <w:sz w:val="44"/>
          <w:szCs w:val="44"/>
          <w:u w:val="single"/>
        </w:rPr>
      </w:pPr>
      <w:r w:rsidRPr="007207B2">
        <w:rPr>
          <w:b/>
          <w:sz w:val="44"/>
          <w:szCs w:val="44"/>
          <w:u w:val="single"/>
        </w:rPr>
        <w:t>Random Matrix Ensembles</w:t>
      </w:r>
    </w:p>
    <w:p w14:paraId="4BBD8339" w14:textId="406007FC" w:rsidR="007207B2" w:rsidRPr="007207B2" w:rsidRDefault="007207B2" w:rsidP="007207B2">
      <w:pPr>
        <w:pStyle w:val="NoSpacing"/>
        <w:rPr>
          <w:sz w:val="24"/>
          <w:szCs w:val="24"/>
        </w:rPr>
      </w:pPr>
    </w:p>
    <w:p w14:paraId="3F1F2610" w14:textId="4B64DAE3" w:rsidR="007207B2" w:rsidRDefault="007207B2" w:rsidP="007207B2">
      <w:pPr>
        <w:pStyle w:val="NoSpacing"/>
        <w:rPr>
          <w:sz w:val="24"/>
          <w:szCs w:val="24"/>
        </w:rPr>
      </w:pPr>
      <w:r>
        <w:rPr>
          <w:sz w:val="24"/>
          <w:szCs w:val="24"/>
        </w:rPr>
        <w:t>So going to explore the different random matrix ensembles out there, having in mind specifically transport.  The ensembles seem to be named after the class of transformations that the Hamiltonian matrix they’re supposed to be describing, are invariant under.  Effectively, the name of the ensemble would then describe the eigenvectors</w:t>
      </w:r>
      <w:r w:rsidR="00162F5D">
        <w:rPr>
          <w:sz w:val="24"/>
          <w:szCs w:val="24"/>
        </w:rPr>
        <w:t>, U,</w:t>
      </w:r>
      <w:r>
        <w:rPr>
          <w:sz w:val="24"/>
          <w:szCs w:val="24"/>
        </w:rPr>
        <w:t xml:space="preserve"> of the Hamiltonian.  </w:t>
      </w:r>
    </w:p>
    <w:p w14:paraId="6BF79FD9" w14:textId="15BC28CB" w:rsidR="007207B2" w:rsidRDefault="007207B2" w:rsidP="007207B2">
      <w:pPr>
        <w:pStyle w:val="NoSpacing"/>
        <w:rPr>
          <w:sz w:val="24"/>
          <w:szCs w:val="24"/>
        </w:rPr>
      </w:pPr>
    </w:p>
    <w:p w14:paraId="23CADB28" w14:textId="44258D6E" w:rsidR="007207B2" w:rsidRPr="007207B2" w:rsidRDefault="007207B2" w:rsidP="007207B2">
      <w:pPr>
        <w:pStyle w:val="NoSpacing"/>
        <w:rPr>
          <w:b/>
          <w:sz w:val="28"/>
          <w:szCs w:val="28"/>
        </w:rPr>
      </w:pPr>
      <w:r w:rsidRPr="007207B2">
        <w:rPr>
          <w:b/>
          <w:sz w:val="28"/>
          <w:szCs w:val="28"/>
        </w:rPr>
        <w:t>Orthogonal Ensemble</w:t>
      </w:r>
      <w:r w:rsidR="00162F5D">
        <w:rPr>
          <w:b/>
          <w:sz w:val="28"/>
          <w:szCs w:val="28"/>
        </w:rPr>
        <w:t xml:space="preserve"> (</w:t>
      </w:r>
      <w:r w:rsidR="00162F5D">
        <w:rPr>
          <w:rFonts w:ascii="Calibri" w:hAnsi="Calibri" w:cs="Calibri"/>
          <w:b/>
          <w:sz w:val="28"/>
          <w:szCs w:val="28"/>
        </w:rPr>
        <w:t>β</w:t>
      </w:r>
      <w:r w:rsidR="00162F5D">
        <w:rPr>
          <w:b/>
          <w:sz w:val="28"/>
          <w:szCs w:val="28"/>
        </w:rPr>
        <w:t xml:space="preserve"> = 1)</w:t>
      </w:r>
    </w:p>
    <w:p w14:paraId="11479350" w14:textId="249639D0" w:rsidR="007207B2" w:rsidRDefault="00162F5D" w:rsidP="007207B2">
      <w:pPr>
        <w:pStyle w:val="NoSpacing"/>
        <w:rPr>
          <w:sz w:val="24"/>
          <w:szCs w:val="24"/>
        </w:rPr>
      </w:pPr>
      <w:r>
        <w:rPr>
          <w:sz w:val="24"/>
          <w:szCs w:val="24"/>
        </w:rPr>
        <w:t xml:space="preserve">This corresponds to the presence of TRS as well as SRS – I suppose the latter occurs when [S,H] = 0 and spin is a conserved quantity, or spectator, basically.  In this case the eigenvectors of H are real and so U would be orthogonal.  We can formally demonstrate this.  Let </w:t>
      </w:r>
      <w:r>
        <w:rPr>
          <w:rFonts w:ascii="Calibri" w:hAnsi="Calibri" w:cs="Calibri"/>
          <w:sz w:val="24"/>
          <w:szCs w:val="24"/>
        </w:rPr>
        <w:t>Θ</w:t>
      </w:r>
      <w:r>
        <w:rPr>
          <w:sz w:val="24"/>
          <w:szCs w:val="24"/>
        </w:rPr>
        <w:t xml:space="preserve"> = </w:t>
      </w:r>
      <w:r w:rsidR="00596969">
        <w:rPr>
          <w:sz w:val="24"/>
          <w:szCs w:val="24"/>
        </w:rPr>
        <w:t xml:space="preserve">UK </w:t>
      </w:r>
      <w:r>
        <w:rPr>
          <w:sz w:val="24"/>
          <w:szCs w:val="24"/>
        </w:rPr>
        <w:t xml:space="preserve">be the time-reversal operator, where </w:t>
      </w:r>
      <w:r w:rsidR="00596969">
        <w:rPr>
          <w:sz w:val="24"/>
          <w:szCs w:val="24"/>
        </w:rPr>
        <w:t>U</w:t>
      </w:r>
      <w:r>
        <w:rPr>
          <w:sz w:val="24"/>
          <w:szCs w:val="24"/>
        </w:rPr>
        <w:t xml:space="preserve"> is </w:t>
      </w:r>
      <w:r w:rsidR="00596969">
        <w:rPr>
          <w:sz w:val="24"/>
          <w:szCs w:val="24"/>
        </w:rPr>
        <w:t>(any) unitary matrix</w:t>
      </w:r>
      <w:r>
        <w:rPr>
          <w:sz w:val="24"/>
          <w:szCs w:val="24"/>
        </w:rPr>
        <w:t xml:space="preserve">, and </w:t>
      </w:r>
      <w:r w:rsidR="00596969">
        <w:rPr>
          <w:sz w:val="24"/>
          <w:szCs w:val="24"/>
        </w:rPr>
        <w:t>K</w:t>
      </w:r>
      <w:r>
        <w:rPr>
          <w:sz w:val="24"/>
          <w:szCs w:val="24"/>
        </w:rPr>
        <w:t xml:space="preserve"> is the complex conjugation operator.  Then we have:</w:t>
      </w:r>
    </w:p>
    <w:p w14:paraId="21FD2EC4" w14:textId="08F7D63F" w:rsidR="00162F5D" w:rsidRDefault="00162F5D" w:rsidP="007207B2">
      <w:pPr>
        <w:pStyle w:val="NoSpacing"/>
        <w:rPr>
          <w:sz w:val="24"/>
          <w:szCs w:val="24"/>
        </w:rPr>
      </w:pPr>
    </w:p>
    <w:bookmarkStart w:id="0" w:name="_Hlk17211863"/>
    <w:p w14:paraId="26E2D57A" w14:textId="3A82139E" w:rsidR="00162F5D" w:rsidRDefault="00596969" w:rsidP="007207B2">
      <w:pPr>
        <w:pStyle w:val="NoSpacing"/>
        <w:rPr>
          <w:sz w:val="24"/>
          <w:szCs w:val="24"/>
        </w:rPr>
      </w:pPr>
      <w:r w:rsidRPr="00596969">
        <w:rPr>
          <w:position w:val="-70"/>
          <w:sz w:val="24"/>
          <w:szCs w:val="24"/>
        </w:rPr>
        <w:object w:dxaOrig="2120" w:dyaOrig="1520" w14:anchorId="7E5FB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06.2pt;height:76.2pt" o:ole="">
            <v:imagedata r:id="rId4" o:title=""/>
          </v:shape>
          <o:OLEObject Type="Embed" ProgID="Equation.DSMT4" ShapeID="_x0000_i1041" DrawAspect="Content" ObjectID="_1627830038" r:id="rId5"/>
        </w:object>
      </w:r>
      <w:bookmarkEnd w:id="0"/>
      <w:r w:rsidR="00162F5D">
        <w:rPr>
          <w:sz w:val="24"/>
          <w:szCs w:val="24"/>
        </w:rPr>
        <w:t xml:space="preserve"> </w:t>
      </w:r>
    </w:p>
    <w:p w14:paraId="523CAC3D" w14:textId="2B375A4F" w:rsidR="00162F5D" w:rsidRDefault="00162F5D" w:rsidP="007207B2">
      <w:pPr>
        <w:pStyle w:val="NoSpacing"/>
        <w:rPr>
          <w:sz w:val="24"/>
          <w:szCs w:val="24"/>
        </w:rPr>
      </w:pPr>
    </w:p>
    <w:p w14:paraId="05904E3D" w14:textId="439F01F6" w:rsidR="00596969" w:rsidRPr="00596969" w:rsidRDefault="00596969" w:rsidP="007207B2">
      <w:pPr>
        <w:pStyle w:val="NoSpacing"/>
        <w:rPr>
          <w:sz w:val="24"/>
          <w:szCs w:val="24"/>
        </w:rPr>
      </w:pPr>
      <w:r>
        <w:rPr>
          <w:sz w:val="24"/>
          <w:szCs w:val="24"/>
        </w:rPr>
        <w:t xml:space="preserve">Now apply </w:t>
      </w:r>
      <w:r>
        <w:rPr>
          <w:rFonts w:ascii="Calibri" w:hAnsi="Calibri" w:cs="Calibri"/>
          <w:sz w:val="24"/>
          <w:szCs w:val="24"/>
        </w:rPr>
        <w:t>Θ</w:t>
      </w:r>
      <w:r>
        <w:rPr>
          <w:sz w:val="24"/>
          <w:szCs w:val="24"/>
        </w:rPr>
        <w:t>()</w:t>
      </w:r>
      <w:r>
        <w:rPr>
          <w:rFonts w:ascii="Calibri" w:hAnsi="Calibri" w:cs="Calibri"/>
          <w:sz w:val="24"/>
          <w:szCs w:val="24"/>
        </w:rPr>
        <w:t>Θ</w:t>
      </w:r>
      <w:r>
        <w:rPr>
          <w:sz w:val="24"/>
          <w:szCs w:val="24"/>
          <w:vertAlign w:val="superscript"/>
        </w:rPr>
        <w:t>-1</w:t>
      </w:r>
      <w:r>
        <w:rPr>
          <w:sz w:val="24"/>
          <w:szCs w:val="24"/>
        </w:rPr>
        <w:t xml:space="preserve"> again,</w:t>
      </w:r>
    </w:p>
    <w:p w14:paraId="52048897" w14:textId="12F8E372" w:rsidR="002B07FA" w:rsidRDefault="002B07FA" w:rsidP="007207B2">
      <w:pPr>
        <w:pStyle w:val="NoSpacing"/>
        <w:rPr>
          <w:sz w:val="24"/>
          <w:szCs w:val="24"/>
        </w:rPr>
      </w:pPr>
    </w:p>
    <w:bookmarkStart w:id="1" w:name="_Hlk17212670"/>
    <w:p w14:paraId="713A570A" w14:textId="24D52CD8" w:rsidR="002B07FA" w:rsidRDefault="00596969" w:rsidP="007207B2">
      <w:pPr>
        <w:pStyle w:val="NoSpacing"/>
        <w:rPr>
          <w:sz w:val="24"/>
          <w:szCs w:val="24"/>
        </w:rPr>
      </w:pPr>
      <w:r w:rsidRPr="00596969">
        <w:rPr>
          <w:position w:val="-88"/>
          <w:sz w:val="24"/>
          <w:szCs w:val="24"/>
        </w:rPr>
        <w:object w:dxaOrig="3400" w:dyaOrig="1920" w14:anchorId="598C64E6">
          <v:shape id="_x0000_i1045" type="#_x0000_t75" style="width:169.8pt;height:96pt" o:ole="">
            <v:imagedata r:id="rId6" o:title=""/>
          </v:shape>
          <o:OLEObject Type="Embed" ProgID="Equation.DSMT4" ShapeID="_x0000_i1045" DrawAspect="Content" ObjectID="_1627830039" r:id="rId7"/>
        </w:object>
      </w:r>
      <w:bookmarkEnd w:id="1"/>
    </w:p>
    <w:p w14:paraId="21262506" w14:textId="4F6726C1" w:rsidR="00596969" w:rsidRDefault="00596969" w:rsidP="007207B2">
      <w:pPr>
        <w:pStyle w:val="NoSpacing"/>
        <w:rPr>
          <w:sz w:val="24"/>
          <w:szCs w:val="24"/>
        </w:rPr>
      </w:pPr>
    </w:p>
    <w:p w14:paraId="43469035" w14:textId="7B1F8B98" w:rsidR="00596969" w:rsidRDefault="00596969" w:rsidP="007207B2">
      <w:pPr>
        <w:pStyle w:val="NoSpacing"/>
        <w:rPr>
          <w:sz w:val="24"/>
          <w:szCs w:val="24"/>
        </w:rPr>
      </w:pPr>
      <w:r>
        <w:rPr>
          <w:sz w:val="24"/>
          <w:szCs w:val="24"/>
        </w:rPr>
        <w:t>Evidentally he takes this as evidence that:</w:t>
      </w:r>
    </w:p>
    <w:p w14:paraId="043B3AA9" w14:textId="6F46235C" w:rsidR="00596969" w:rsidRDefault="00596969" w:rsidP="007207B2">
      <w:pPr>
        <w:pStyle w:val="NoSpacing"/>
        <w:rPr>
          <w:sz w:val="24"/>
          <w:szCs w:val="24"/>
        </w:rPr>
      </w:pPr>
    </w:p>
    <w:bookmarkStart w:id="2" w:name="_Hlk17215176"/>
    <w:p w14:paraId="70C76293" w14:textId="53650001" w:rsidR="00596969" w:rsidRDefault="00216249" w:rsidP="007207B2">
      <w:pPr>
        <w:pStyle w:val="NoSpacing"/>
        <w:rPr>
          <w:sz w:val="24"/>
          <w:szCs w:val="24"/>
        </w:rPr>
      </w:pPr>
      <w:r w:rsidRPr="00596969">
        <w:rPr>
          <w:position w:val="-6"/>
          <w:sz w:val="24"/>
          <w:szCs w:val="24"/>
        </w:rPr>
        <w:object w:dxaOrig="999" w:dyaOrig="320" w14:anchorId="4600FFA8">
          <v:shape id="_x0000_i1054" type="#_x0000_t75" style="width:49.8pt;height:16.2pt" o:ole="">
            <v:imagedata r:id="rId8" o:title=""/>
          </v:shape>
          <o:OLEObject Type="Embed" ProgID="Equation.DSMT4" ShapeID="_x0000_i1054" DrawAspect="Content" ObjectID="_1627830040" r:id="rId9"/>
        </w:object>
      </w:r>
      <w:bookmarkEnd w:id="2"/>
    </w:p>
    <w:p w14:paraId="5BD1863B" w14:textId="10177EBF" w:rsidR="00216249" w:rsidRDefault="00216249" w:rsidP="007207B2">
      <w:pPr>
        <w:pStyle w:val="NoSpacing"/>
        <w:rPr>
          <w:sz w:val="24"/>
          <w:szCs w:val="24"/>
        </w:rPr>
      </w:pPr>
    </w:p>
    <w:p w14:paraId="0C694296" w14:textId="30766100" w:rsidR="00216249" w:rsidRDefault="00D045E9" w:rsidP="007207B2">
      <w:pPr>
        <w:pStyle w:val="NoSpacing"/>
        <w:rPr>
          <w:sz w:val="24"/>
          <w:szCs w:val="24"/>
        </w:rPr>
      </w:pPr>
      <w:r>
        <w:rPr>
          <w:sz w:val="24"/>
          <w:szCs w:val="24"/>
        </w:rPr>
        <w:t xml:space="preserve">Perhaps we can conclude this, as opposed to that </w:t>
      </w:r>
      <w:r>
        <w:rPr>
          <w:rFonts w:ascii="Calibri" w:hAnsi="Calibri" w:cs="Calibri"/>
          <w:sz w:val="24"/>
          <w:szCs w:val="24"/>
        </w:rPr>
        <w:t>Θ</w:t>
      </w:r>
      <w:r>
        <w:rPr>
          <w:sz w:val="24"/>
          <w:szCs w:val="24"/>
        </w:rPr>
        <w:t xml:space="preserve"> = </w:t>
      </w:r>
      <w:r>
        <w:rPr>
          <w:rFonts w:ascii="Cambria Math" w:hAnsi="Cambria Math"/>
          <w:sz w:val="24"/>
          <w:szCs w:val="24"/>
        </w:rPr>
        <w:t>±</w:t>
      </w:r>
      <w:r>
        <w:rPr>
          <w:sz w:val="24"/>
          <w:szCs w:val="24"/>
        </w:rPr>
        <w:t xml:space="preserve">1 because </w:t>
      </w:r>
      <w:r>
        <w:rPr>
          <w:rFonts w:ascii="Calibri" w:hAnsi="Calibri" w:cs="Calibri"/>
          <w:sz w:val="24"/>
          <w:szCs w:val="24"/>
        </w:rPr>
        <w:t>Θ</w:t>
      </w:r>
      <w:r>
        <w:rPr>
          <w:sz w:val="24"/>
          <w:szCs w:val="24"/>
        </w:rPr>
        <w:t>H</w:t>
      </w:r>
      <w:r>
        <w:rPr>
          <w:rFonts w:ascii="Calibri" w:hAnsi="Calibri" w:cs="Calibri"/>
          <w:sz w:val="24"/>
          <w:szCs w:val="24"/>
        </w:rPr>
        <w:t>Θ</w:t>
      </w:r>
      <w:r>
        <w:rPr>
          <w:sz w:val="24"/>
          <w:szCs w:val="24"/>
          <w:vertAlign w:val="superscript"/>
        </w:rPr>
        <w:t>-1</w:t>
      </w:r>
      <w:r>
        <w:rPr>
          <w:sz w:val="24"/>
          <w:szCs w:val="24"/>
        </w:rPr>
        <w:t xml:space="preserve"> = H, because UU</w:t>
      </w:r>
      <w:r>
        <w:rPr>
          <w:sz w:val="24"/>
          <w:szCs w:val="24"/>
          <w:vertAlign w:val="superscript"/>
        </w:rPr>
        <w:t>*</w:t>
      </w:r>
      <w:r>
        <w:rPr>
          <w:sz w:val="24"/>
          <w:szCs w:val="24"/>
        </w:rPr>
        <w:t xml:space="preserve"> does lie entirely within the HS, unlike </w:t>
      </w:r>
      <w:r>
        <w:rPr>
          <w:rFonts w:ascii="Calibri" w:hAnsi="Calibri" w:cs="Calibri"/>
          <w:sz w:val="24"/>
          <w:szCs w:val="24"/>
        </w:rPr>
        <w:t>Θ</w:t>
      </w:r>
      <w:r>
        <w:rPr>
          <w:sz w:val="24"/>
          <w:szCs w:val="24"/>
        </w:rPr>
        <w:t>?  Well, i</w:t>
      </w:r>
      <w:r w:rsidR="00216249">
        <w:rPr>
          <w:sz w:val="24"/>
          <w:szCs w:val="24"/>
        </w:rPr>
        <w:t xml:space="preserve">f we take +1, then that means </w:t>
      </w:r>
    </w:p>
    <w:p w14:paraId="6430EDCE" w14:textId="77777777" w:rsidR="00216249" w:rsidRDefault="00216249" w:rsidP="007207B2">
      <w:pPr>
        <w:pStyle w:val="NoSpacing"/>
        <w:rPr>
          <w:sz w:val="24"/>
          <w:szCs w:val="24"/>
        </w:rPr>
      </w:pPr>
    </w:p>
    <w:p w14:paraId="15343A95" w14:textId="7888CF42" w:rsidR="00216249" w:rsidRDefault="00216249" w:rsidP="007207B2">
      <w:pPr>
        <w:pStyle w:val="NoSpacing"/>
        <w:rPr>
          <w:sz w:val="24"/>
          <w:szCs w:val="24"/>
        </w:rPr>
      </w:pPr>
      <w:r w:rsidRPr="00216249">
        <w:rPr>
          <w:position w:val="-6"/>
          <w:sz w:val="24"/>
          <w:szCs w:val="24"/>
        </w:rPr>
        <w:object w:dxaOrig="2500" w:dyaOrig="320" w14:anchorId="5F1768B6">
          <v:shape id="_x0000_i1060" type="#_x0000_t75" style="width:124.8pt;height:16.2pt" o:ole="">
            <v:imagedata r:id="rId10" o:title=""/>
          </v:shape>
          <o:OLEObject Type="Embed" ProgID="Equation.DSMT4" ShapeID="_x0000_i1060" DrawAspect="Content" ObjectID="_1627830041" r:id="rId11"/>
        </w:object>
      </w:r>
    </w:p>
    <w:p w14:paraId="243F868B" w14:textId="134386E2" w:rsidR="00216249" w:rsidRDefault="00216249" w:rsidP="007207B2">
      <w:pPr>
        <w:pStyle w:val="NoSpacing"/>
        <w:rPr>
          <w:sz w:val="24"/>
          <w:szCs w:val="24"/>
        </w:rPr>
      </w:pPr>
    </w:p>
    <w:p w14:paraId="30AEF693" w14:textId="17930ACE" w:rsidR="00216249" w:rsidRDefault="00D045E9" w:rsidP="007207B2">
      <w:pPr>
        <w:pStyle w:val="NoSpacing"/>
        <w:rPr>
          <w:sz w:val="24"/>
          <w:szCs w:val="24"/>
        </w:rPr>
      </w:pPr>
      <w:r>
        <w:rPr>
          <w:sz w:val="24"/>
          <w:szCs w:val="24"/>
        </w:rPr>
        <w:t xml:space="preserve">So the </w:t>
      </w:r>
      <w:r w:rsidRPr="00D045E9">
        <w:rPr>
          <w:b/>
          <w:sz w:val="24"/>
          <w:szCs w:val="24"/>
        </w:rPr>
        <w:t>eigenvectors</w:t>
      </w:r>
      <w:r>
        <w:rPr>
          <w:sz w:val="24"/>
          <w:szCs w:val="24"/>
        </w:rPr>
        <w:t xml:space="preserve"> form an </w:t>
      </w:r>
      <w:r w:rsidRPr="00D045E9">
        <w:rPr>
          <w:b/>
          <w:sz w:val="24"/>
          <w:szCs w:val="24"/>
        </w:rPr>
        <w:t>orthogonal</w:t>
      </w:r>
      <w:r>
        <w:rPr>
          <w:b/>
          <w:sz w:val="24"/>
          <w:szCs w:val="24"/>
        </w:rPr>
        <w:t xml:space="preserve"> symmetric</w:t>
      </w:r>
      <w:bookmarkStart w:id="3" w:name="_GoBack"/>
      <w:bookmarkEnd w:id="3"/>
      <w:r>
        <w:rPr>
          <w:sz w:val="24"/>
          <w:szCs w:val="24"/>
        </w:rPr>
        <w:t xml:space="preserve"> matrix.  Furthermore, </w:t>
      </w:r>
      <w:r w:rsidRPr="00D045E9">
        <w:rPr>
          <w:b/>
          <w:sz w:val="24"/>
          <w:szCs w:val="24"/>
        </w:rPr>
        <w:t>H</w:t>
      </w:r>
      <w:r>
        <w:rPr>
          <w:sz w:val="24"/>
          <w:szCs w:val="24"/>
        </w:rPr>
        <w:t xml:space="preserve"> will be </w:t>
      </w:r>
      <w:r w:rsidRPr="00D045E9">
        <w:rPr>
          <w:b/>
          <w:sz w:val="24"/>
          <w:szCs w:val="24"/>
        </w:rPr>
        <w:t>symmetric</w:t>
      </w:r>
      <w:r>
        <w:rPr>
          <w:sz w:val="24"/>
          <w:szCs w:val="24"/>
        </w:rPr>
        <w:t xml:space="preserve"> since:</w:t>
      </w:r>
    </w:p>
    <w:p w14:paraId="13BE55F9" w14:textId="77777777" w:rsidR="00D045E9" w:rsidRDefault="00D045E9" w:rsidP="007207B2">
      <w:pPr>
        <w:pStyle w:val="NoSpacing"/>
        <w:rPr>
          <w:sz w:val="24"/>
          <w:szCs w:val="24"/>
        </w:rPr>
      </w:pPr>
    </w:p>
    <w:p w14:paraId="092FF9B4" w14:textId="2E9D395D" w:rsidR="00D045E9" w:rsidRDefault="00D045E9" w:rsidP="007207B2">
      <w:pPr>
        <w:pStyle w:val="NoSpacing"/>
        <w:rPr>
          <w:sz w:val="24"/>
          <w:szCs w:val="24"/>
        </w:rPr>
      </w:pPr>
      <w:r w:rsidRPr="00D045E9">
        <w:rPr>
          <w:position w:val="-30"/>
          <w:sz w:val="24"/>
          <w:szCs w:val="24"/>
        </w:rPr>
        <w:object w:dxaOrig="2260" w:dyaOrig="720" w14:anchorId="6573319F">
          <v:shape id="_x0000_i1068" type="#_x0000_t75" style="width:112.8pt;height:36pt" o:ole="">
            <v:imagedata r:id="rId12" o:title=""/>
          </v:shape>
          <o:OLEObject Type="Embed" ProgID="Equation.DSMT4" ShapeID="_x0000_i1068" DrawAspect="Content" ObjectID="_1627830042" r:id="rId13"/>
        </w:object>
      </w:r>
    </w:p>
    <w:p w14:paraId="211F06F6" w14:textId="3E5ABDB8" w:rsidR="00216249" w:rsidRDefault="00216249" w:rsidP="007207B2">
      <w:pPr>
        <w:pStyle w:val="NoSpacing"/>
        <w:rPr>
          <w:sz w:val="24"/>
          <w:szCs w:val="24"/>
        </w:rPr>
      </w:pPr>
    </w:p>
    <w:p w14:paraId="3A2D1815" w14:textId="082540F0" w:rsidR="00216249" w:rsidRDefault="00216249" w:rsidP="007207B2">
      <w:pPr>
        <w:pStyle w:val="NoSpacing"/>
        <w:rPr>
          <w:sz w:val="24"/>
          <w:szCs w:val="24"/>
        </w:rPr>
      </w:pPr>
    </w:p>
    <w:p w14:paraId="1316EF4E" w14:textId="71E7457F" w:rsidR="00216249" w:rsidRDefault="00216249" w:rsidP="007207B2">
      <w:pPr>
        <w:pStyle w:val="NoSpacing"/>
        <w:rPr>
          <w:sz w:val="24"/>
          <w:szCs w:val="24"/>
        </w:rPr>
      </w:pPr>
    </w:p>
    <w:p w14:paraId="506201E3" w14:textId="77777777" w:rsidR="00216249" w:rsidRDefault="00216249" w:rsidP="007207B2">
      <w:pPr>
        <w:pStyle w:val="NoSpacing"/>
        <w:rPr>
          <w:sz w:val="24"/>
          <w:szCs w:val="24"/>
        </w:rPr>
      </w:pPr>
    </w:p>
    <w:p w14:paraId="6C2F3A76" w14:textId="6AE2A1AC" w:rsidR="00162F5D" w:rsidRDefault="00162F5D" w:rsidP="007207B2">
      <w:pPr>
        <w:pStyle w:val="NoSpacing"/>
        <w:rPr>
          <w:sz w:val="24"/>
          <w:szCs w:val="24"/>
        </w:rPr>
      </w:pPr>
    </w:p>
    <w:p w14:paraId="13613767" w14:textId="77777777" w:rsidR="00162F5D" w:rsidRPr="007207B2" w:rsidRDefault="00162F5D" w:rsidP="007207B2">
      <w:pPr>
        <w:pStyle w:val="NoSpacing"/>
        <w:rPr>
          <w:sz w:val="24"/>
          <w:szCs w:val="24"/>
        </w:rPr>
      </w:pPr>
    </w:p>
    <w:p w14:paraId="1C7286FF" w14:textId="70B1A73F" w:rsidR="007207B2" w:rsidRPr="007207B2" w:rsidRDefault="007207B2" w:rsidP="007207B2">
      <w:pPr>
        <w:pStyle w:val="NoSpacing"/>
        <w:rPr>
          <w:sz w:val="24"/>
          <w:szCs w:val="24"/>
        </w:rPr>
      </w:pPr>
    </w:p>
    <w:p w14:paraId="6A6A0815" w14:textId="00C4F290" w:rsidR="007207B2" w:rsidRPr="007207B2" w:rsidRDefault="007207B2" w:rsidP="007207B2">
      <w:pPr>
        <w:pStyle w:val="NoSpacing"/>
        <w:rPr>
          <w:sz w:val="24"/>
          <w:szCs w:val="24"/>
        </w:rPr>
      </w:pPr>
    </w:p>
    <w:p w14:paraId="1E9A2521" w14:textId="1A8F19EA" w:rsidR="007207B2" w:rsidRPr="007207B2" w:rsidRDefault="007207B2" w:rsidP="007207B2">
      <w:pPr>
        <w:pStyle w:val="NoSpacing"/>
        <w:rPr>
          <w:sz w:val="24"/>
          <w:szCs w:val="24"/>
        </w:rPr>
      </w:pPr>
    </w:p>
    <w:p w14:paraId="7EE1EA74" w14:textId="3BEC4E6D" w:rsidR="007207B2" w:rsidRPr="007207B2" w:rsidRDefault="007207B2" w:rsidP="007207B2">
      <w:pPr>
        <w:pStyle w:val="NoSpacing"/>
        <w:rPr>
          <w:sz w:val="24"/>
          <w:szCs w:val="24"/>
        </w:rPr>
      </w:pPr>
    </w:p>
    <w:p w14:paraId="73898B94" w14:textId="7EBCA0C0" w:rsidR="007207B2" w:rsidRPr="007207B2" w:rsidRDefault="007207B2" w:rsidP="007207B2">
      <w:pPr>
        <w:pStyle w:val="NoSpacing"/>
        <w:rPr>
          <w:sz w:val="24"/>
          <w:szCs w:val="24"/>
        </w:rPr>
      </w:pPr>
    </w:p>
    <w:p w14:paraId="256FECD9" w14:textId="77777777" w:rsidR="007207B2" w:rsidRPr="007207B2" w:rsidRDefault="007207B2" w:rsidP="007207B2">
      <w:pPr>
        <w:pStyle w:val="NoSpacing"/>
        <w:rPr>
          <w:sz w:val="24"/>
          <w:szCs w:val="24"/>
        </w:rPr>
      </w:pPr>
    </w:p>
    <w:sectPr w:rsidR="007207B2" w:rsidRPr="007207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F57"/>
    <w:rsid w:val="00087059"/>
    <w:rsid w:val="00133166"/>
    <w:rsid w:val="00162F5D"/>
    <w:rsid w:val="00164AA5"/>
    <w:rsid w:val="00216249"/>
    <w:rsid w:val="002B07FA"/>
    <w:rsid w:val="003B2AF0"/>
    <w:rsid w:val="004349E5"/>
    <w:rsid w:val="00434A71"/>
    <w:rsid w:val="004B39D7"/>
    <w:rsid w:val="00581959"/>
    <w:rsid w:val="00596969"/>
    <w:rsid w:val="007207B2"/>
    <w:rsid w:val="007452CC"/>
    <w:rsid w:val="00874286"/>
    <w:rsid w:val="008F4027"/>
    <w:rsid w:val="009D5095"/>
    <w:rsid w:val="00B76F57"/>
    <w:rsid w:val="00D045E9"/>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DD53"/>
  <w15:chartTrackingRefBased/>
  <w15:docId w15:val="{10E03CC9-878C-4DEB-8E05-E239FD7E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07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cp:revision>
  <dcterms:created xsi:type="dcterms:W3CDTF">2019-08-20T19:41:00Z</dcterms:created>
  <dcterms:modified xsi:type="dcterms:W3CDTF">2019-08-20T22:13:00Z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